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AC" w:rsidRPr="004864AC" w:rsidRDefault="004864AC" w:rsidP="004864AC">
      <w:pPr>
        <w:spacing w:before="100" w:beforeAutospacing="1" w:after="100" w:afterAutospacing="1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4864AC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Условия питания обучающихся.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Уважаемые родители!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428750" cy="714375"/>
            <wp:effectExtent l="19050" t="0" r="0" b="0"/>
            <wp:docPr id="1" name="Рисунок 1" descr="http://mddou6posad.ucoz.net/_si/0/s34184193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34184193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Согласно постановлению Главного государственного санитарного врача Российской Федерации № 26 от 15.05.2013 с 01 августа 2013 года введены в действие санитарно-эпидемиологические правила и нормативы (далее - санитарные правила) </w:t>
      </w:r>
      <w:proofErr w:type="spellStart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СанПиН</w:t>
      </w:r>
      <w:proofErr w:type="spellEnd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Требования к оборудованию пищеблока, инвентарю, посуде.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Требования к условиям хранения, приготовления и реализации пищевых продуктов и кулинарных изделий.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Требования к составлению меню для организации питания детей разного возраста.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Требования к перевозке и приему в дошкольные организации пищевых продуктов.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br/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Устройство и оборудование пищеблока соответствуют санитарным правилам и нормам к организации детского общественного питания. Пищеблок состоит из овощного, холодного, мясорыбного, горячего цехов и склада, оборудован необходимым технологическим и холодильным оборудованием  в рабочем состоянии.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столы, предназначенные для обработки пищевых продуктов цельнометаллические;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- для разделки сырых и готовых продуктов имеются отдельные разделочные столы, ножи и доски из деревьев твердых пород без щелей и зазоров, гладко 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выструганные. 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u w:val="single"/>
          <w:lang w:eastAsia="ru-RU"/>
        </w:rPr>
        <w:t>Разделочные доски из пластмассы и прессованной фанеры к использованию не допускаются;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доски и ножи промаркированы: «СМ» - сырое мясо, «СК» - сырые куры, «СР» - сырая рыба, «СО» - сырые овощи, «ВМ» - вареное мясо, «ВР» - вареная рыба, «ВО» - вареные овощи, «гастрономия», «Сельдь», «X» - хлеб, «Зелень»;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посуда, используемая для приготовления и хранения пищи безопасная для здоровья детей;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компоты и кисели готовят в посуде из нержавеющей стали. Для кипячения молока выделена отдельная посуда;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Пищеблок оборудован системой приточно-вытяжной вентиляции В помещениях пищеблока ежедневно проводят уборку: мытье полов, удаление пыли,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Пищевые продукты поступают в детский сад на </w:t>
      </w: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склад продуктов питания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 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Крупа, мука, макаронные изделия хранятся в мешках, картонных коробках на подтоварниках. Ржаной и пшеничный хлеб хранятся раздельно в шкафу на пищеблоке. Картофель и корнеплоды хранятся в сухом, темном помещении.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При приготовлении пищи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 соблюдаются следующие правила: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на пищеблоке имеется 2 мясорубки для раздельного приготовления сырых и готовых продуктов.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запекание</w:t>
      </w:r>
      <w:proofErr w:type="spellEnd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При обработке овощей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 соблюдаются следующие требования: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Не допускается предварительное замачивание овощей.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При подготовке меню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(см. таблицу).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Нормы физиологических потребностей детей в пищевых веществах и энергии (в день)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2000"/>
        <w:gridCol w:w="2478"/>
        <w:gridCol w:w="688"/>
        <w:gridCol w:w="1451"/>
        <w:gridCol w:w="1208"/>
        <w:gridCol w:w="1446"/>
      </w:tblGrid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Возраст детей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Норма потребности в 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Энергетическая потребность(в ккал)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Белки в граммах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Жиры в граммах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Углеводы в граммах</w:t>
            </w: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В т.ч. животный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3</w:t>
            </w: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75% от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195,75</w:t>
            </w:r>
          </w:p>
        </w:tc>
      </w:tr>
    </w:tbl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Приложение N 13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 xml:space="preserve">к </w:t>
      </w:r>
      <w:proofErr w:type="spellStart"/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СанПиН</w:t>
      </w:r>
      <w:proofErr w:type="spellEnd"/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 xml:space="preserve"> 2.4.1.3049-13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Par1617"/>
      <w:bookmarkEnd w:id="0"/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2"/>
        <w:gridCol w:w="1035"/>
        <w:gridCol w:w="875"/>
        <w:gridCol w:w="1018"/>
        <w:gridCol w:w="875"/>
      </w:tblGrid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Ужин</w:t>
            </w: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75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 </w:t>
            </w:r>
          </w:p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3</w:t>
            </w: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-7лет</w:t>
            </w:r>
          </w:p>
          <w:p w:rsidR="004864AC" w:rsidRPr="004864AC" w:rsidRDefault="004864AC" w:rsidP="004864AC">
            <w:pPr>
              <w:spacing w:after="75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400-550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600-800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250-350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450-600</w:t>
            </w:r>
          </w:p>
        </w:tc>
      </w:tr>
    </w:tbl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i/>
          <w:iCs/>
          <w:color w:val="000000"/>
          <w:sz w:val="23"/>
          <w:lang w:eastAsia="ru-RU"/>
        </w:rPr>
        <w:t>Распределение общей калорийности суточного рациона питания детей в зависимости от времени пребывания ребенка в ДОУ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1160"/>
        <w:gridCol w:w="2253"/>
        <w:gridCol w:w="1143"/>
        <w:gridCol w:w="1237"/>
        <w:gridCol w:w="1381"/>
      </w:tblGrid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Для детей с дневным пребыванием в детском саду</w:t>
            </w:r>
          </w:p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(12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 xml:space="preserve">Энергетическая ценность (в </w:t>
            </w:r>
            <w:proofErr w:type="spellStart"/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калл</w:t>
            </w:r>
            <w:proofErr w:type="spellEnd"/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Белки в 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Жиры (в  граммах)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Углеводы (в граммах)</w:t>
            </w: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Завтрак – 25%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3</w:t>
            </w: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-7лет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65,25</w:t>
            </w: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Обед – 35%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91,35</w:t>
            </w: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Ужин- 15%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39,15</w:t>
            </w:r>
          </w:p>
        </w:tc>
      </w:tr>
      <w:tr w:rsidR="004864AC" w:rsidRPr="004864AC" w:rsidTr="00486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Всего-75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AC" w:rsidRPr="004864AC" w:rsidRDefault="004864AC" w:rsidP="004864AC">
            <w:pPr>
              <w:spacing w:after="0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64A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lang w:eastAsia="ru-RU"/>
              </w:rPr>
              <w:t>195,75</w:t>
            </w:r>
          </w:p>
        </w:tc>
      </w:tr>
    </w:tbl>
    <w:p w:rsidR="004864AC" w:rsidRPr="004864AC" w:rsidRDefault="004864AC" w:rsidP="004864AC">
      <w:pPr>
        <w:spacing w:after="75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детских и подростковых учреждениях,  согласно требованиям нормативных документов (</w:t>
      </w:r>
      <w:proofErr w:type="spellStart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СанПиН</w:t>
      </w:r>
      <w:proofErr w:type="spellEnd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2.4.1.3049-13) проводится  круглогодичная или сезонная  «С» – витаминизация.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Искусственная витаминизация в ДОУ осуществляется согласно </w:t>
      </w:r>
      <w:proofErr w:type="spellStart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СанПиН</w:t>
      </w:r>
      <w:proofErr w:type="spellEnd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п.14.21 из расчета для детей от 1-3 лет – 35мл., для детей 3-7 лет – 50мл. (на порцию).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Препараты витаминов вводят в третье блюдо (компот или кисель). После его охлаждения до температуры 15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vertAlign w:val="superscript"/>
          <w:lang w:eastAsia="ru-RU"/>
        </w:rPr>
        <w:t>0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С. (для компота) и 35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vertAlign w:val="superscript"/>
          <w:lang w:eastAsia="ru-RU"/>
        </w:rPr>
        <w:t>0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С. (для киселя) не посредственно перед реализацией. Подогрев витаминизированных блюд не допускается.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Витамин «С» (аскорбиновая кислота) необходим для биохимических окислительно-восстановительных процессов. Витамин «С» способствует образованию дезоксирибонуклеиновой кислоты (ДНК).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  аллергией.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бракеражной</w:t>
      </w:r>
      <w:proofErr w:type="spellEnd"/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</w:t>
      </w:r>
    </w:p>
    <w:p w:rsidR="004864AC" w:rsidRPr="004864AC" w:rsidRDefault="004864AC" w:rsidP="004864AC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</w:t>
      </w:r>
      <w:r w:rsidRPr="004864A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сохраняют в течение не менее 48 часов при температуре +2 - +6 °С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C202AE" w:rsidRDefault="00C202AE"/>
    <w:sectPr w:rsidR="00C202AE" w:rsidSect="00C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864AC"/>
    <w:rsid w:val="004864AC"/>
    <w:rsid w:val="005C54C7"/>
    <w:rsid w:val="00C2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E"/>
  </w:style>
  <w:style w:type="paragraph" w:styleId="1">
    <w:name w:val="heading 1"/>
    <w:basedOn w:val="a"/>
    <w:link w:val="10"/>
    <w:uiPriority w:val="9"/>
    <w:qFormat/>
    <w:rsid w:val="004864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64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4AC"/>
    <w:rPr>
      <w:i/>
      <w:iCs/>
    </w:rPr>
  </w:style>
  <w:style w:type="character" w:styleId="a5">
    <w:name w:val="Strong"/>
    <w:basedOn w:val="a0"/>
    <w:uiPriority w:val="22"/>
    <w:qFormat/>
    <w:rsid w:val="004864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64A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ddou6posad.ucoz.net/_si/0/341841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2020-06-17T08:15:00Z</dcterms:created>
  <dcterms:modified xsi:type="dcterms:W3CDTF">2020-06-17T08:20:00Z</dcterms:modified>
</cp:coreProperties>
</file>